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5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72CE6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B36B5" w:rsidRPr="00171E75" w:rsidRDefault="00072CE6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ЧУВАШСКОЕ УРМЕТЬ</w:t>
      </w:r>
      <w:r w:rsidR="009F1AEF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ВО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71E7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Челно-Вершинский </w:t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1A1"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36B5" w:rsidRPr="0017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DD9" w:rsidRPr="00AB36B5" w:rsidRDefault="00171E75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971A1" w:rsidRPr="00AB36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7D">
        <w:rPr>
          <w:rFonts w:ascii="Times New Roman" w:hAnsi="Times New Roman" w:cs="Times New Roman"/>
          <w:sz w:val="24"/>
          <w:szCs w:val="24"/>
        </w:rPr>
        <w:t>25 марта 2022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8087D">
        <w:rPr>
          <w:rFonts w:ascii="Times New Roman" w:hAnsi="Times New Roman" w:cs="Times New Roman"/>
          <w:sz w:val="24"/>
          <w:szCs w:val="24"/>
        </w:rPr>
        <w:t xml:space="preserve"> 7</w:t>
      </w:r>
      <w:r w:rsidR="004971A1"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74"/>
        <w:tblW w:w="9741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820BBA" w:rsidRPr="00AB36B5" w:rsidTr="00820BBA">
        <w:tc>
          <w:tcPr>
            <w:tcW w:w="5466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820BBA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 осуществления банковского</w:t>
            </w:r>
            <w:r w:rsid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5A5D73" w:rsidRPr="00AB36B5" w:rsidRDefault="00820BBA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71A1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72CE6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="00072CE6">
        <w:rPr>
          <w:rFonts w:ascii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072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2CE6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072CE6" w:rsidRPr="00072CE6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072CE6" w:rsidRPr="00072CE6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971A1" w:rsidRPr="00171E75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</w:t>
      </w:r>
      <w:r w:rsidR="0036410E"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АНОВЛЯЕТ</w:t>
      </w: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072CE6" w:rsidRPr="00072CE6">
        <w:rPr>
          <w:sz w:val="28"/>
          <w:szCs w:val="28"/>
        </w:rPr>
        <w:t xml:space="preserve">Чувашское </w:t>
      </w:r>
      <w:proofErr w:type="spellStart"/>
      <w:r w:rsidR="00072CE6" w:rsidRPr="00072CE6">
        <w:rPr>
          <w:sz w:val="28"/>
          <w:szCs w:val="28"/>
        </w:rPr>
        <w:t>Урметьево</w:t>
      </w:r>
      <w:proofErr w:type="spellEnd"/>
      <w:r w:rsidR="00056622" w:rsidRPr="00171E75">
        <w:rPr>
          <w:sz w:val="28"/>
          <w:szCs w:val="28"/>
        </w:rPr>
        <w:t xml:space="preserve"> муниципального района </w:t>
      </w:r>
      <w:proofErr w:type="spellStart"/>
      <w:r w:rsidR="00056622" w:rsidRPr="00171E75">
        <w:rPr>
          <w:sz w:val="28"/>
          <w:szCs w:val="28"/>
        </w:rPr>
        <w:t>Челно-Вершинский</w:t>
      </w:r>
      <w:proofErr w:type="spellEnd"/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Arial" w:hAnsi="Arial" w:cs="Arial"/>
          <w:color w:val="333333"/>
        </w:rPr>
        <w:t xml:space="preserve"> </w:t>
      </w:r>
      <w:r w:rsidR="00072CE6" w:rsidRPr="00072CE6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072CE6" w:rsidRPr="00072CE6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7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875BFD" w:rsidP="00AB36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</w:t>
      </w:r>
      <w:r w:rsid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="00072C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072C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Т.В. </w:t>
      </w:r>
      <w:proofErr w:type="spellStart"/>
      <w:r w:rsidR="00072CE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Разукова</w:t>
      </w:r>
      <w:proofErr w:type="spellEnd"/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072CE6" w:rsidRPr="00072CE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Чувашское</w:t>
      </w:r>
      <w:proofErr w:type="gramEnd"/>
      <w:r w:rsidR="00072CE6" w:rsidRPr="00072CE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072CE6" w:rsidRPr="00072CE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Урметьево</w:t>
      </w:r>
      <w:proofErr w:type="spellEnd"/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 2022 года </w:t>
      </w:r>
      <w:r w:rsidR="00F451F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7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D020A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рафику выполнения работы и фактическим результатам выполненной работы (ее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Чувашское</w:t>
      </w:r>
      <w:proofErr w:type="gramEnd"/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Урметьево</w:t>
      </w:r>
      <w:proofErr w:type="spellEnd"/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 2022 года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98087D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7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71E75" w:rsidRPr="00171E75" w:rsidRDefault="00171E75" w:rsidP="0098087D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которых являются поставки товаров, выполнение работ,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сельского поселения </w:t>
      </w:r>
      <w:r w:rsidR="00072CE6" w:rsidRPr="0007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Чувашское </w:t>
      </w:r>
      <w:proofErr w:type="spellStart"/>
      <w:r w:rsidR="00072CE6" w:rsidRPr="0007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Урметьево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1E75" w:rsidRPr="00171E75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 w:rsidR="00072CE6" w:rsidRPr="00072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Урметьево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1"/>
    <w:rsid w:val="00021E3A"/>
    <w:rsid w:val="00056622"/>
    <w:rsid w:val="00072CE6"/>
    <w:rsid w:val="0009140E"/>
    <w:rsid w:val="001021BF"/>
    <w:rsid w:val="001302C9"/>
    <w:rsid w:val="001620A6"/>
    <w:rsid w:val="00171E75"/>
    <w:rsid w:val="001F75EE"/>
    <w:rsid w:val="00241B14"/>
    <w:rsid w:val="00242A43"/>
    <w:rsid w:val="003333D4"/>
    <w:rsid w:val="003419F6"/>
    <w:rsid w:val="0036410E"/>
    <w:rsid w:val="004461F2"/>
    <w:rsid w:val="00481E0F"/>
    <w:rsid w:val="004971A1"/>
    <w:rsid w:val="004E69FD"/>
    <w:rsid w:val="0052552B"/>
    <w:rsid w:val="00552412"/>
    <w:rsid w:val="00562CB3"/>
    <w:rsid w:val="0057129D"/>
    <w:rsid w:val="00576DD9"/>
    <w:rsid w:val="005A5D73"/>
    <w:rsid w:val="005F7AA5"/>
    <w:rsid w:val="00612966"/>
    <w:rsid w:val="006770D6"/>
    <w:rsid w:val="00695E0D"/>
    <w:rsid w:val="006A7369"/>
    <w:rsid w:val="006B162E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152D3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8087D"/>
    <w:rsid w:val="009D42F5"/>
    <w:rsid w:val="009D656F"/>
    <w:rsid w:val="009F1AEF"/>
    <w:rsid w:val="00A07C62"/>
    <w:rsid w:val="00A279B0"/>
    <w:rsid w:val="00A73A6D"/>
    <w:rsid w:val="00A931BF"/>
    <w:rsid w:val="00AB36B5"/>
    <w:rsid w:val="00AB5FE6"/>
    <w:rsid w:val="00AC4AAF"/>
    <w:rsid w:val="00BA45D1"/>
    <w:rsid w:val="00BD020A"/>
    <w:rsid w:val="00BD0B35"/>
    <w:rsid w:val="00BE2E85"/>
    <w:rsid w:val="00D011A1"/>
    <w:rsid w:val="00D14779"/>
    <w:rsid w:val="00D408FE"/>
    <w:rsid w:val="00E07F18"/>
    <w:rsid w:val="00E95935"/>
    <w:rsid w:val="00F31FD4"/>
    <w:rsid w:val="00F451F3"/>
    <w:rsid w:val="00F60DA7"/>
    <w:rsid w:val="00F765FD"/>
    <w:rsid w:val="00F82045"/>
    <w:rsid w:val="00FB712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RYZEN</cp:lastModifiedBy>
  <cp:revision>5</cp:revision>
  <dcterms:created xsi:type="dcterms:W3CDTF">2022-03-16T10:27:00Z</dcterms:created>
  <dcterms:modified xsi:type="dcterms:W3CDTF">2022-03-29T09:21:00Z</dcterms:modified>
</cp:coreProperties>
</file>